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16" w:rsidRPr="00994216" w:rsidRDefault="00994216">
      <w:pPr>
        <w:rPr>
          <w:b/>
        </w:rPr>
      </w:pPr>
      <w:r w:rsidRPr="00994216">
        <w:rPr>
          <w:b/>
        </w:rPr>
        <w:t>FACULTY / ART ACADEMY UNIVERSITY OF ZAGREB</w:t>
      </w:r>
      <w:r>
        <w:rPr>
          <w:b/>
        </w:rPr>
        <w:t xml:space="preserve">: </w:t>
      </w:r>
    </w:p>
    <w:p w:rsidR="00733298" w:rsidRPr="00994216" w:rsidRDefault="00994216">
      <w:pPr>
        <w:rPr>
          <w:b/>
        </w:rPr>
      </w:pPr>
      <w:r w:rsidRPr="00815D55">
        <w:rPr>
          <w:b/>
          <w:color w:val="FF0000"/>
        </w:rPr>
        <w:t xml:space="preserve">Name of the partner </w:t>
      </w:r>
      <w:proofErr w:type="spellStart"/>
      <w:r w:rsidRPr="00815D55">
        <w:rPr>
          <w:b/>
          <w:color w:val="FF0000"/>
        </w:rPr>
        <w:t>institution</w:t>
      </w:r>
      <w:proofErr w:type="spellEnd"/>
      <w:r w:rsidRPr="00994216">
        <w:rPr>
          <w:b/>
        </w:rPr>
        <w:t xml:space="preserve">: </w:t>
      </w:r>
    </w:p>
    <w:p w:rsidR="00994216" w:rsidRPr="00994216" w:rsidRDefault="00994216">
      <w:pPr>
        <w:rPr>
          <w:b/>
        </w:rPr>
      </w:pPr>
      <w:proofErr w:type="spellStart"/>
      <w:r w:rsidRPr="00815D55">
        <w:rPr>
          <w:b/>
          <w:color w:val="FF0000"/>
        </w:rPr>
        <w:t>Official</w:t>
      </w:r>
      <w:proofErr w:type="spellEnd"/>
      <w:r w:rsidRPr="00815D55">
        <w:rPr>
          <w:b/>
          <w:color w:val="FF0000"/>
        </w:rPr>
        <w:t xml:space="preserve"> </w:t>
      </w:r>
      <w:proofErr w:type="spellStart"/>
      <w:r w:rsidRPr="00815D55">
        <w:rPr>
          <w:b/>
          <w:color w:val="FF0000"/>
        </w:rPr>
        <w:t>website</w:t>
      </w:r>
      <w:proofErr w:type="spellEnd"/>
      <w:r w:rsidRPr="00815D55">
        <w:rPr>
          <w:b/>
          <w:color w:val="FF0000"/>
        </w:rPr>
        <w:t xml:space="preserve"> of the partner </w:t>
      </w:r>
      <w:proofErr w:type="spellStart"/>
      <w:r w:rsidRPr="00815D55">
        <w:rPr>
          <w:b/>
          <w:color w:val="FF0000"/>
        </w:rPr>
        <w:t>institution</w:t>
      </w:r>
      <w:proofErr w:type="spellEnd"/>
      <w:r w:rsidRPr="00994216">
        <w:rPr>
          <w:b/>
        </w:rPr>
        <w:t xml:space="preserve">: </w:t>
      </w:r>
    </w:p>
    <w:p w:rsidR="00994216" w:rsidRPr="00994216" w:rsidRDefault="00994216">
      <w:pPr>
        <w:rPr>
          <w:b/>
        </w:rPr>
      </w:pPr>
      <w:proofErr w:type="spellStart"/>
      <w:r w:rsidRPr="00815D55">
        <w:rPr>
          <w:b/>
          <w:color w:val="FF0000"/>
        </w:rPr>
        <w:t>Country</w:t>
      </w:r>
      <w:proofErr w:type="spellEnd"/>
      <w:r w:rsidRPr="00994216">
        <w:rPr>
          <w:b/>
        </w:rPr>
        <w:t xml:space="preserve">: </w:t>
      </w:r>
    </w:p>
    <w:p w:rsidR="00994216" w:rsidRDefault="00994216" w:rsidP="00994216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lang w:val="en-US"/>
        </w:rPr>
      </w:pPr>
      <w:r>
        <w:rPr>
          <w:rFonts w:ascii="Verdana" w:eastAsia="Verdana" w:hAnsi="Verdana" w:cs="Verdana"/>
          <w:b/>
          <w:bCs/>
          <w:lang w:val="en-US"/>
        </w:rPr>
        <w:t>Mobility numbers</w:t>
      </w:r>
      <w:r>
        <w:rPr>
          <w:rFonts w:ascii="Verdana" w:eastAsia="Verdana" w:hAnsi="Verdana" w:cs="Verdana"/>
          <w:b/>
          <w:bCs/>
          <w:vertAlign w:val="superscript"/>
          <w:lang w:val="en-US"/>
        </w:rPr>
        <w:footnoteReference w:id="1"/>
      </w:r>
      <w:r>
        <w:rPr>
          <w:rFonts w:ascii="Verdana" w:eastAsia="Verdana" w:hAnsi="Verdana" w:cs="Verdana"/>
          <w:b/>
          <w:bCs/>
          <w:lang w:val="en-US"/>
        </w:rPr>
        <w:t xml:space="preserve"> per academic year</w:t>
      </w:r>
    </w:p>
    <w:p w:rsidR="00994216" w:rsidRDefault="00994216" w:rsidP="00994216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 xml:space="preserve">[Paragraph to be added if the agreement is signed for more than one academic year: </w:t>
      </w:r>
    </w:p>
    <w:p w:rsidR="00994216" w:rsidRDefault="00994216" w:rsidP="00994216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>The partners commit to amend the table below in case of changes in the mobility data by the end of January at the latest in the preceding academic year.]</w:t>
      </w:r>
    </w:p>
    <w:p w:rsidR="00994216" w:rsidRPr="00994216" w:rsidRDefault="00994216" w:rsidP="00994216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iCs/>
          <w:sz w:val="20"/>
          <w:szCs w:val="20"/>
          <w:lang w:val="en-US"/>
        </w:rPr>
      </w:pPr>
      <w:r w:rsidRPr="00994216">
        <w:rPr>
          <w:rFonts w:ascii="Verdana" w:eastAsia="Verdana" w:hAnsi="Verdana" w:cs="Verdana"/>
          <w:b/>
          <w:iCs/>
          <w:sz w:val="20"/>
          <w:szCs w:val="20"/>
          <w:lang w:val="en-US"/>
        </w:rPr>
        <w:t>STUDENTS</w:t>
      </w:r>
    </w:p>
    <w:p w:rsidR="00994216" w:rsidRDefault="00994216" w:rsidP="00994216">
      <w:pPr>
        <w:keepNext/>
        <w:keepLines/>
        <w:tabs>
          <w:tab w:val="left" w:pos="426"/>
        </w:tabs>
        <w:spacing w:after="120"/>
        <w:rPr>
          <w:rFonts w:ascii="Verdana" w:hAnsi="Verdana"/>
          <w:i/>
          <w:color w:val="261BF9"/>
          <w:sz w:val="20"/>
          <w:lang w:val="en-GB"/>
        </w:rPr>
      </w:pPr>
      <w:proofErr w:type="gramStart"/>
      <w:r w:rsidRPr="00F630C4">
        <w:rPr>
          <w:rFonts w:ascii="Verdana" w:hAnsi="Verdana"/>
          <w:i/>
          <w:color w:val="261BF9"/>
          <w:sz w:val="20"/>
          <w:lang w:val="en-GB"/>
        </w:rPr>
        <w:t>example</w:t>
      </w:r>
      <w:proofErr w:type="gramEnd"/>
      <w:r w:rsidRPr="00F630C4">
        <w:rPr>
          <w:rFonts w:ascii="Verdana" w:hAnsi="Verdana"/>
          <w:i/>
          <w:color w:val="261BF9"/>
          <w:sz w:val="20"/>
          <w:lang w:val="en-GB"/>
        </w:rPr>
        <w:t xml:space="preserve"> of an agreed flow – clear</w:t>
      </w:r>
      <w:r>
        <w:rPr>
          <w:rFonts w:ascii="Verdana" w:hAnsi="Verdana"/>
          <w:i/>
          <w:color w:val="261BF9"/>
          <w:sz w:val="20"/>
          <w:lang w:val="en-GB"/>
        </w:rPr>
        <w:t xml:space="preserve"> when putting the data for your/partner </w:t>
      </w:r>
      <w:r w:rsidRPr="00F630C4">
        <w:rPr>
          <w:rFonts w:ascii="Verdana" w:hAnsi="Verdana"/>
          <w:i/>
          <w:color w:val="261BF9"/>
          <w:sz w:val="20"/>
          <w:lang w:val="en-GB"/>
        </w:rPr>
        <w:t>institution</w:t>
      </w:r>
    </w:p>
    <w:p w:rsidR="00994216" w:rsidRPr="00F630C4" w:rsidRDefault="00994216" w:rsidP="00994216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color w:val="261BF9"/>
          <w:sz w:val="20"/>
          <w:szCs w:val="20"/>
          <w:lang w:val="en-US"/>
        </w:rPr>
      </w:pPr>
      <w:proofErr w:type="gramStart"/>
      <w:r>
        <w:rPr>
          <w:rFonts w:ascii="Verdana" w:hAnsi="Verdana"/>
          <w:i/>
          <w:color w:val="261BF9"/>
          <w:sz w:val="20"/>
          <w:lang w:val="en-GB"/>
        </w:rPr>
        <w:t>mobility</w:t>
      </w:r>
      <w:proofErr w:type="gramEnd"/>
      <w:r>
        <w:rPr>
          <w:rFonts w:ascii="Verdana" w:hAnsi="Verdana"/>
          <w:i/>
          <w:color w:val="261BF9"/>
          <w:sz w:val="20"/>
          <w:lang w:val="en-GB"/>
        </w:rPr>
        <w:t xml:space="preserve"> from Croatia to partner country institution is not possible for 1</w:t>
      </w:r>
      <w:r w:rsidRPr="00994216">
        <w:rPr>
          <w:rFonts w:ascii="Verdana" w:hAnsi="Verdana"/>
          <w:i/>
          <w:color w:val="261BF9"/>
          <w:sz w:val="20"/>
          <w:vertAlign w:val="superscript"/>
          <w:lang w:val="en-GB"/>
        </w:rPr>
        <w:t>st</w:t>
      </w:r>
      <w:r>
        <w:rPr>
          <w:rFonts w:ascii="Verdana" w:hAnsi="Verdana"/>
          <w:i/>
          <w:color w:val="261BF9"/>
          <w:sz w:val="20"/>
          <w:lang w:val="en-GB"/>
        </w:rPr>
        <w:t xml:space="preserve"> and 2</w:t>
      </w:r>
      <w:r w:rsidRPr="00994216">
        <w:rPr>
          <w:rFonts w:ascii="Verdana" w:hAnsi="Verdana"/>
          <w:i/>
          <w:color w:val="261BF9"/>
          <w:sz w:val="20"/>
          <w:vertAlign w:val="superscript"/>
          <w:lang w:val="en-GB"/>
        </w:rPr>
        <w:t>nd</w:t>
      </w:r>
      <w:r>
        <w:rPr>
          <w:rFonts w:ascii="Verdana" w:hAnsi="Verdana"/>
          <w:i/>
          <w:color w:val="261BF9"/>
          <w:sz w:val="20"/>
          <w:lang w:val="en-GB"/>
        </w:rPr>
        <w:t xml:space="preserve"> cycle</w:t>
      </w:r>
    </w:p>
    <w:tbl>
      <w:tblPr>
        <w:tblW w:w="93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6"/>
        <w:gridCol w:w="992"/>
        <w:gridCol w:w="1701"/>
        <w:gridCol w:w="992"/>
        <w:gridCol w:w="1417"/>
        <w:gridCol w:w="1701"/>
      </w:tblGrid>
      <w:tr w:rsidR="00994216" w:rsidRPr="00996E56" w:rsidTr="00050341">
        <w:trPr>
          <w:trHeight w:val="305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Default="00994216" w:rsidP="0005034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FROM</w:t>
            </w:r>
          </w:p>
          <w:p w:rsidR="00994216" w:rsidRPr="0037352D" w:rsidRDefault="00994216" w:rsidP="00050341">
            <w:pPr>
              <w:jc w:val="center"/>
              <w:rPr>
                <w:lang w:val="en-GB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  <w:t>[Erasmus code or city of the sending institution]</w:t>
            </w: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Default="00994216" w:rsidP="0005034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n-US"/>
              </w:rPr>
              <w:t>7</w:t>
            </w:r>
          </w:p>
          <w:p w:rsidR="00994216" w:rsidRPr="0037352D" w:rsidRDefault="00994216" w:rsidP="00050341">
            <w:pPr>
              <w:jc w:val="center"/>
              <w:rPr>
                <w:lang w:val="en-GB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  <w:t>[Erasmus code or city of the receiving institution]</w:t>
            </w:r>
          </w:p>
        </w:tc>
        <w:tc>
          <w:tcPr>
            <w:tcW w:w="99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Default="00994216" w:rsidP="00050341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t>Subject area code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br/>
              <w:t xml:space="preserve">* 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br/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  <w:t>[ISCED 2013]</w:t>
            </w:r>
          </w:p>
          <w:p w:rsidR="00994216" w:rsidRDefault="00994216" w:rsidP="00050341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Default="00994216" w:rsidP="00050341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t>Subject area name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br/>
              <w:t xml:space="preserve">* </w:t>
            </w:r>
          </w:p>
        </w:tc>
        <w:tc>
          <w:tcPr>
            <w:tcW w:w="99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7352D" w:rsidRDefault="00994216" w:rsidP="00050341">
            <w:pPr>
              <w:jc w:val="center"/>
              <w:rPr>
                <w:lang w:val="en-GB"/>
              </w:rPr>
            </w:pP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t>Study cycle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br/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  <w:t xml:space="preserve">[short cycle, 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t xml:space="preserve"> , 2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t xml:space="preserve"> or 3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  <w:t>]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br/>
              <w:t>*</w:t>
            </w:r>
          </w:p>
        </w:tc>
        <w:tc>
          <w:tcPr>
            <w:tcW w:w="311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7352D" w:rsidRDefault="00994216" w:rsidP="00050341">
            <w:pPr>
              <w:jc w:val="center"/>
              <w:rPr>
                <w:lang w:val="en-GB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Number of student mobility periods</w:t>
            </w:r>
          </w:p>
        </w:tc>
      </w:tr>
      <w:tr w:rsidR="00994216" w:rsidRPr="00996E56" w:rsidTr="00050341">
        <w:trPr>
          <w:trHeight w:val="1488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94216" w:rsidRPr="0037352D" w:rsidRDefault="00994216" w:rsidP="00050341">
            <w:pPr>
              <w:rPr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94216" w:rsidRPr="0037352D" w:rsidRDefault="00994216" w:rsidP="00050341">
            <w:pPr>
              <w:rPr>
                <w:lang w:val="en-GB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94216" w:rsidRPr="0037352D" w:rsidRDefault="00994216" w:rsidP="00050341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94216" w:rsidRPr="0037352D" w:rsidRDefault="00994216" w:rsidP="00050341">
            <w:pPr>
              <w:rPr>
                <w:lang w:val="en-GB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94216" w:rsidRPr="0037352D" w:rsidRDefault="00994216" w:rsidP="00050341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Default="00994216" w:rsidP="00050341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Student Mobility for Studies</w:t>
            </w:r>
          </w:p>
          <w:p w:rsidR="00994216" w:rsidRPr="0037352D" w:rsidRDefault="00994216" w:rsidP="00050341">
            <w:pPr>
              <w:spacing w:after="120"/>
              <w:jc w:val="center"/>
              <w:rPr>
                <w:lang w:val="en-GB"/>
              </w:rPr>
            </w:pPr>
            <w:r>
              <w:rPr>
                <w:rFonts w:ascii="Verdana" w:eastAsia="Verdana" w:hAnsi="Verdana" w:cs="Verdana"/>
                <w:sz w:val="8"/>
                <w:szCs w:val="8"/>
                <w:lang w:val="en-US"/>
              </w:rPr>
              <w:br/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en-US"/>
              </w:rPr>
              <w:t>[total number of months of the study periods or average duration*]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Default="00994216" w:rsidP="00050341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t>Student Mobility for Traineeships*</w:t>
            </w:r>
          </w:p>
          <w:p w:rsidR="00994216" w:rsidRPr="0037352D" w:rsidRDefault="00994216" w:rsidP="00015DE4">
            <w:pPr>
              <w:jc w:val="center"/>
              <w:rPr>
                <w:lang w:val="en-GB"/>
              </w:rPr>
            </w:pPr>
            <w:r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n-US"/>
              </w:rPr>
              <w:t>[</w:t>
            </w:r>
            <w:r w:rsidR="00015DE4"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  <w:u w:color="FF0000"/>
                <w:lang w:val="en-US"/>
              </w:rPr>
              <w:t>Possible as of 2019</w:t>
            </w:r>
            <w:r>
              <w:rPr>
                <w:rFonts w:ascii="Verdana" w:eastAsia="Verdana" w:hAnsi="Verdana" w:cs="Verdana"/>
                <w:i/>
                <w:iCs/>
                <w:color w:val="FF0000"/>
                <w:sz w:val="16"/>
                <w:szCs w:val="16"/>
                <w:u w:color="FF0000"/>
                <w:lang w:val="en-US"/>
              </w:rPr>
              <w:t>]</w:t>
            </w:r>
            <w:r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br/>
            </w:r>
            <w:r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br/>
            </w:r>
          </w:p>
        </w:tc>
      </w:tr>
      <w:tr w:rsidR="00994216" w:rsidRPr="00996E56" w:rsidTr="00050341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494CDD" w:rsidRDefault="00994216" w:rsidP="00050341">
            <w:pPr>
              <w:rPr>
                <w:rFonts w:ascii="Verdana" w:hAnsi="Verdana"/>
                <w:color w:val="261BF9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City – partner country institution</w:t>
            </w: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FF1566" w:rsidRDefault="00994216" w:rsidP="00050341">
            <w:pPr>
              <w:rPr>
                <w:rFonts w:ascii="Verdana" w:hAnsi="Verdana"/>
                <w:sz w:val="20"/>
                <w:lang w:val="en-GB"/>
              </w:rPr>
            </w:pPr>
            <w:r w:rsidRPr="00FF1566">
              <w:rPr>
                <w:rFonts w:ascii="Verdana" w:hAnsi="Verdana"/>
                <w:sz w:val="20"/>
                <w:lang w:val="en-GB"/>
              </w:rPr>
              <w:t>HR ZAGREB 01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314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Economics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1</w:t>
            </w:r>
            <w:r w:rsidRPr="00357BEB">
              <w:rPr>
                <w:rFonts w:ascii="Verdana" w:hAnsi="Verdana"/>
                <w:color w:val="FF0000"/>
                <w:sz w:val="20"/>
                <w:vertAlign w:val="superscript"/>
                <w:lang w:val="en-GB"/>
              </w:rPr>
              <w:t>st</w:t>
            </w: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, 2</w:t>
            </w:r>
            <w:r w:rsidRPr="00357BEB">
              <w:rPr>
                <w:rFonts w:ascii="Verdana" w:hAnsi="Verdana"/>
                <w:color w:val="FF0000"/>
                <w:sz w:val="20"/>
                <w:vertAlign w:val="superscript"/>
                <w:lang w:val="en-GB"/>
              </w:rPr>
              <w:t>nd</w:t>
            </w: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20 (4 students x 5 months)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494CDD" w:rsidRDefault="00994216" w:rsidP="00050341">
            <w:pPr>
              <w:rPr>
                <w:rFonts w:ascii="Verdana" w:hAnsi="Verdana"/>
                <w:color w:val="261BF9"/>
                <w:sz w:val="20"/>
                <w:lang w:val="en-GB"/>
              </w:rPr>
            </w:pPr>
            <w:r w:rsidRPr="00494CDD">
              <w:rPr>
                <w:rFonts w:ascii="Verdana" w:hAnsi="Verdana"/>
                <w:color w:val="261BF9"/>
                <w:sz w:val="20"/>
                <w:lang w:val="en-GB"/>
              </w:rPr>
              <w:t>/</w:t>
            </w:r>
          </w:p>
        </w:tc>
      </w:tr>
      <w:tr w:rsidR="00994216" w:rsidRPr="00996E56" w:rsidTr="00050341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94216" w:rsidRPr="0037352D" w:rsidRDefault="00994216" w:rsidP="00050341">
            <w:pPr>
              <w:rPr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94216" w:rsidRPr="0037352D" w:rsidRDefault="00994216" w:rsidP="00050341">
            <w:pPr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color w:val="FF000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340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color w:val="FF000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Business and administration (broad programmes)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color w:val="FF000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3</w:t>
            </w:r>
            <w:r w:rsidRPr="00357BEB">
              <w:rPr>
                <w:rFonts w:ascii="Verdana" w:hAnsi="Verdana"/>
                <w:color w:val="FF0000"/>
                <w:sz w:val="20"/>
                <w:vertAlign w:val="superscript"/>
                <w:lang w:val="en-GB"/>
              </w:rPr>
              <w:t>rd</w:t>
            </w: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994216">
            <w:pPr>
              <w:rPr>
                <w:color w:val="FF000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10 months (2 students x 5 months)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494CDD" w:rsidRDefault="00994216" w:rsidP="00050341">
            <w:pPr>
              <w:rPr>
                <w:color w:val="261BF9"/>
                <w:lang w:val="en-GB"/>
              </w:rPr>
            </w:pPr>
            <w:r w:rsidRPr="00494CDD">
              <w:rPr>
                <w:rFonts w:ascii="Verdana" w:hAnsi="Verdana"/>
                <w:color w:val="261BF9"/>
                <w:sz w:val="20"/>
                <w:lang w:val="en-GB"/>
              </w:rPr>
              <w:t>/</w:t>
            </w:r>
          </w:p>
        </w:tc>
      </w:tr>
      <w:tr w:rsidR="00994216" w:rsidRPr="00996E56" w:rsidTr="00050341">
        <w:trPr>
          <w:trHeight w:val="320"/>
        </w:trPr>
        <w:tc>
          <w:tcPr>
            <w:tcW w:w="1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FF1566" w:rsidRDefault="00994216" w:rsidP="00050341">
            <w:pPr>
              <w:rPr>
                <w:rFonts w:ascii="Verdana" w:hAnsi="Verdana"/>
                <w:sz w:val="20"/>
                <w:lang w:val="en-GB"/>
              </w:rPr>
            </w:pPr>
            <w:r w:rsidRPr="00FF1566">
              <w:rPr>
                <w:rFonts w:ascii="Verdana" w:hAnsi="Verdana"/>
                <w:sz w:val="20"/>
                <w:lang w:val="en-GB"/>
              </w:rPr>
              <w:t>HR ZAGREB 01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494CDD" w:rsidRDefault="00994216" w:rsidP="00050341">
            <w:pPr>
              <w:rPr>
                <w:rFonts w:ascii="Verdana" w:hAnsi="Verdana"/>
                <w:color w:val="261BF9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City – partner country institution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314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Economics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 xml:space="preserve">3rd 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994216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5 months (1 student x 5 months)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494CDD" w:rsidRDefault="00994216" w:rsidP="00050341">
            <w:pPr>
              <w:rPr>
                <w:rFonts w:ascii="Verdana" w:hAnsi="Verdana"/>
                <w:color w:val="261BF9"/>
                <w:sz w:val="20"/>
                <w:lang w:val="en-GB"/>
              </w:rPr>
            </w:pPr>
            <w:r w:rsidRPr="00494CDD">
              <w:rPr>
                <w:rFonts w:ascii="Verdana" w:hAnsi="Verdana"/>
                <w:color w:val="261BF9"/>
                <w:sz w:val="20"/>
                <w:lang w:val="en-GB"/>
              </w:rPr>
              <w:t>/</w:t>
            </w:r>
          </w:p>
        </w:tc>
      </w:tr>
    </w:tbl>
    <w:p w:rsidR="00994216" w:rsidRPr="00015DE4" w:rsidRDefault="00015DE4" w:rsidP="00994216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color w:val="FF0000"/>
          <w:sz w:val="20"/>
          <w:szCs w:val="20"/>
        </w:rPr>
      </w:pPr>
      <w:r w:rsidRPr="00015DE4">
        <w:rPr>
          <w:rFonts w:ascii="Verdana" w:eastAsia="Verdana" w:hAnsi="Verdana" w:cs="Verdana"/>
          <w:b/>
          <w:bCs/>
          <w:color w:val="FF0000"/>
          <w:sz w:val="20"/>
          <w:szCs w:val="20"/>
        </w:rPr>
        <w:t>Ističemo ako planirate praksu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za svoje studente</w:t>
      </w:r>
      <w:r w:rsidRPr="00015DE4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, da ćemo predložiti samo mogućnost da se 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ona</w:t>
      </w:r>
      <w:r w:rsidRPr="00015DE4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odradi na ciljanom sveučilištu u partnerskoj zemlji (ne i kompaniji)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.</w:t>
      </w:r>
    </w:p>
    <w:p w:rsidR="00994216" w:rsidRDefault="00994216" w:rsidP="00994216">
      <w:pPr>
        <w:rPr>
          <w:rFonts w:ascii="Verdana" w:eastAsia="Verdana" w:hAnsi="Verdana" w:cs="Verdana"/>
          <w:i/>
          <w:iCs/>
          <w:sz w:val="18"/>
          <w:szCs w:val="18"/>
          <w:lang w:val="en-US"/>
        </w:rPr>
      </w:pPr>
      <w:bookmarkStart w:id="0" w:name="_GoBack"/>
      <w:bookmarkEnd w:id="0"/>
      <w:r w:rsidRPr="00015DE4">
        <w:rPr>
          <w:rFonts w:ascii="Verdana" w:eastAsia="Verdana" w:hAnsi="Verdana" w:cs="Verdana"/>
          <w:i/>
          <w:iCs/>
          <w:sz w:val="18"/>
          <w:szCs w:val="18"/>
        </w:rPr>
        <w:t>[*</w:t>
      </w:r>
      <w:proofErr w:type="spellStart"/>
      <w:r w:rsidRPr="00015DE4">
        <w:rPr>
          <w:rFonts w:ascii="Verdana" w:eastAsia="Verdana" w:hAnsi="Verdana" w:cs="Verdana"/>
          <w:i/>
          <w:iCs/>
          <w:sz w:val="18"/>
          <w:szCs w:val="18"/>
        </w:rPr>
        <w:t>Optional</w:t>
      </w:r>
      <w:proofErr w:type="spellEnd"/>
      <w:r w:rsidRPr="00015DE4">
        <w:rPr>
          <w:rFonts w:ascii="Verdana" w:eastAsia="Verdana" w:hAnsi="Verdana" w:cs="Verdana"/>
          <w:i/>
          <w:iCs/>
          <w:sz w:val="18"/>
          <w:szCs w:val="18"/>
        </w:rPr>
        <w:t xml:space="preserve">: </w:t>
      </w:r>
      <w:proofErr w:type="spellStart"/>
      <w:r w:rsidRPr="00015DE4">
        <w:rPr>
          <w:rFonts w:ascii="Verdana" w:eastAsia="Verdana" w:hAnsi="Verdana" w:cs="Verdana"/>
          <w:i/>
          <w:iCs/>
          <w:sz w:val="18"/>
          <w:szCs w:val="18"/>
        </w:rPr>
        <w:t>subject</w:t>
      </w:r>
      <w:proofErr w:type="spellEnd"/>
      <w:r w:rsidRPr="00015DE4">
        <w:rPr>
          <w:rFonts w:ascii="Verdana" w:eastAsia="Verdana" w:hAnsi="Verdana" w:cs="Verdana"/>
          <w:i/>
          <w:iCs/>
          <w:sz w:val="18"/>
          <w:szCs w:val="18"/>
        </w:rPr>
        <w:t xml:space="preserve"> </w:t>
      </w:r>
      <w:proofErr w:type="spellStart"/>
      <w:r w:rsidRPr="00015DE4">
        <w:rPr>
          <w:rFonts w:ascii="Verdana" w:eastAsia="Verdana" w:hAnsi="Verdana" w:cs="Verdana"/>
          <w:i/>
          <w:iCs/>
          <w:sz w:val="18"/>
          <w:szCs w:val="18"/>
        </w:rPr>
        <w:t>code</w:t>
      </w:r>
      <w:proofErr w:type="spellEnd"/>
      <w:r w:rsidRPr="00015DE4">
        <w:rPr>
          <w:rFonts w:ascii="Verdana" w:eastAsia="Verdana" w:hAnsi="Verdana" w:cs="Verdana"/>
          <w:i/>
          <w:iCs/>
          <w:sz w:val="18"/>
          <w:szCs w:val="18"/>
        </w:rPr>
        <w:t xml:space="preserve"> &amp; </w:t>
      </w:r>
      <w:proofErr w:type="spellStart"/>
      <w:r w:rsidRPr="00015DE4">
        <w:rPr>
          <w:rFonts w:ascii="Verdana" w:eastAsia="Verdana" w:hAnsi="Verdana" w:cs="Verdana"/>
          <w:i/>
          <w:iCs/>
          <w:sz w:val="18"/>
          <w:szCs w:val="18"/>
        </w:rPr>
        <w:t>name</w:t>
      </w:r>
      <w:proofErr w:type="spellEnd"/>
      <w:r w:rsidRPr="00015DE4">
        <w:rPr>
          <w:rFonts w:ascii="Verdana" w:eastAsia="Verdana" w:hAnsi="Verdana" w:cs="Verdana"/>
          <w:i/>
          <w:iCs/>
          <w:sz w:val="18"/>
          <w:szCs w:val="18"/>
        </w:rPr>
        <w:t xml:space="preserve"> and </w:t>
      </w:r>
      <w:proofErr w:type="spellStart"/>
      <w:r w:rsidRPr="00015DE4">
        <w:rPr>
          <w:rFonts w:ascii="Verdana" w:eastAsia="Verdana" w:hAnsi="Verdana" w:cs="Verdana"/>
          <w:i/>
          <w:iCs/>
          <w:sz w:val="18"/>
          <w:szCs w:val="18"/>
        </w:rPr>
        <w:t>study</w:t>
      </w:r>
      <w:proofErr w:type="spellEnd"/>
      <w:r w:rsidRPr="00015DE4">
        <w:rPr>
          <w:rFonts w:ascii="Verdana" w:eastAsia="Verdana" w:hAnsi="Verdana" w:cs="Verdana"/>
          <w:i/>
          <w:iCs/>
          <w:sz w:val="18"/>
          <w:szCs w:val="18"/>
        </w:rPr>
        <w:t xml:space="preserve"> </w:t>
      </w:r>
      <w:proofErr w:type="spellStart"/>
      <w:r w:rsidRPr="00015DE4">
        <w:rPr>
          <w:rFonts w:ascii="Verdana" w:eastAsia="Verdana" w:hAnsi="Verdana" w:cs="Verdana"/>
          <w:i/>
          <w:iCs/>
          <w:sz w:val="18"/>
          <w:szCs w:val="18"/>
        </w:rPr>
        <w:t>cycle</w:t>
      </w:r>
      <w:proofErr w:type="spellEnd"/>
      <w:r w:rsidRPr="00015DE4">
        <w:rPr>
          <w:rFonts w:ascii="Verdana" w:eastAsia="Verdana" w:hAnsi="Verdana" w:cs="Verdana"/>
          <w:i/>
          <w:iCs/>
          <w:sz w:val="18"/>
          <w:szCs w:val="18"/>
        </w:rPr>
        <w:t xml:space="preserve"> are </w:t>
      </w:r>
      <w:proofErr w:type="spellStart"/>
      <w:r w:rsidRPr="00015DE4">
        <w:rPr>
          <w:rFonts w:ascii="Verdana" w:eastAsia="Verdana" w:hAnsi="Verdana" w:cs="Verdana"/>
          <w:i/>
          <w:iCs/>
          <w:sz w:val="18"/>
          <w:szCs w:val="18"/>
        </w:rPr>
        <w:t>optional</w:t>
      </w:r>
      <w:proofErr w:type="spellEnd"/>
      <w:r w:rsidRPr="00015DE4">
        <w:rPr>
          <w:rFonts w:ascii="Verdana" w:eastAsia="Verdana" w:hAnsi="Verdana" w:cs="Verdana"/>
          <w:i/>
          <w:iCs/>
          <w:sz w:val="18"/>
          <w:szCs w:val="18"/>
        </w:rPr>
        <w:t>. Inter-</w:t>
      </w:r>
      <w:proofErr w:type="spellStart"/>
      <w:r w:rsidRPr="00015DE4">
        <w:rPr>
          <w:rFonts w:ascii="Verdana" w:eastAsia="Verdana" w:hAnsi="Verdana" w:cs="Verdana"/>
          <w:i/>
          <w:iCs/>
          <w:sz w:val="18"/>
          <w:szCs w:val="18"/>
        </w:rPr>
        <w:t>institutional</w:t>
      </w:r>
      <w:proofErr w:type="spellEnd"/>
      <w:r w:rsidRPr="00015DE4">
        <w:rPr>
          <w:rFonts w:ascii="Verdana" w:eastAsia="Verdana" w:hAnsi="Verdana" w:cs="Verdana"/>
          <w:i/>
          <w:iCs/>
          <w:sz w:val="18"/>
          <w:szCs w:val="18"/>
        </w:rPr>
        <w:t xml:space="preserve"> </w:t>
      </w:r>
      <w:proofErr w:type="spellStart"/>
      <w:r w:rsidRPr="00015DE4">
        <w:rPr>
          <w:rFonts w:ascii="Verdana" w:eastAsia="Verdana" w:hAnsi="Verdana" w:cs="Verdana"/>
          <w:i/>
          <w:iCs/>
          <w:sz w:val="18"/>
          <w:szCs w:val="18"/>
        </w:rPr>
        <w:t>agreements</w:t>
      </w:r>
      <w:proofErr w:type="spellEnd"/>
      <w:r w:rsidRPr="00015DE4">
        <w:rPr>
          <w:rFonts w:ascii="Verdana" w:eastAsia="Verdana" w:hAnsi="Verdana" w:cs="Verdana"/>
          <w:i/>
          <w:iCs/>
          <w:sz w:val="18"/>
          <w:szCs w:val="18"/>
        </w:rPr>
        <w:t xml:space="preserve"> are </w:t>
      </w:r>
      <w:proofErr w:type="spellStart"/>
      <w:r w:rsidRPr="00015DE4">
        <w:rPr>
          <w:rFonts w:ascii="Verdana" w:eastAsia="Verdana" w:hAnsi="Verdana" w:cs="Verdana"/>
          <w:i/>
          <w:iCs/>
          <w:sz w:val="18"/>
          <w:szCs w:val="18"/>
        </w:rPr>
        <w:t>not</w:t>
      </w:r>
      <w:proofErr w:type="spellEnd"/>
      <w:r w:rsidRPr="00015DE4">
        <w:rPr>
          <w:rFonts w:ascii="Verdana" w:eastAsia="Verdana" w:hAnsi="Verdana" w:cs="Verdana"/>
          <w:i/>
          <w:iCs/>
          <w:sz w:val="18"/>
          <w:szCs w:val="18"/>
        </w:rPr>
        <w:t xml:space="preserve"> </w:t>
      </w:r>
      <w:proofErr w:type="spellStart"/>
      <w:r w:rsidRPr="00015DE4">
        <w:rPr>
          <w:rFonts w:ascii="Verdana" w:eastAsia="Verdana" w:hAnsi="Verdana" w:cs="Verdana"/>
          <w:i/>
          <w:iCs/>
          <w:sz w:val="18"/>
          <w:szCs w:val="18"/>
        </w:rPr>
        <w:t>compulsory</w:t>
      </w:r>
      <w:proofErr w:type="spellEnd"/>
      <w:r w:rsidRPr="00015DE4">
        <w:rPr>
          <w:rFonts w:ascii="Verdana" w:eastAsia="Verdana" w:hAnsi="Verdana" w:cs="Verdana"/>
          <w:i/>
          <w:iCs/>
          <w:sz w:val="18"/>
          <w:szCs w:val="18"/>
        </w:rPr>
        <w:t xml:space="preserve"> for Student M</w:t>
      </w:r>
      <w:proofErr w:type="spellStart"/>
      <w:r>
        <w:rPr>
          <w:rFonts w:ascii="Verdana" w:eastAsia="Verdana" w:hAnsi="Verdana" w:cs="Verdana"/>
          <w:i/>
          <w:iCs/>
          <w:sz w:val="18"/>
          <w:szCs w:val="18"/>
          <w:lang w:val="en-US"/>
        </w:rPr>
        <w:t>obility</w:t>
      </w:r>
      <w:proofErr w:type="spellEnd"/>
      <w:r>
        <w:rPr>
          <w:rFonts w:ascii="Verdana" w:eastAsia="Verdana" w:hAnsi="Verdana" w:cs="Verdana"/>
          <w:i/>
          <w:iCs/>
          <w:sz w:val="18"/>
          <w:szCs w:val="18"/>
          <w:lang w:val="en-US"/>
        </w:rPr>
        <w:t xml:space="preserve"> for Traineeships or Staff mobility for Training. Institutions may </w:t>
      </w:r>
      <w:r>
        <w:rPr>
          <w:rFonts w:ascii="Verdana" w:eastAsia="Verdana" w:hAnsi="Verdana" w:cs="Verdana"/>
          <w:i/>
          <w:iCs/>
          <w:sz w:val="18"/>
          <w:szCs w:val="18"/>
          <w:lang w:val="en-US"/>
        </w:rPr>
        <w:lastRenderedPageBreak/>
        <w:t xml:space="preserve">agree to cooperate on the </w:t>
      </w:r>
      <w:proofErr w:type="spellStart"/>
      <w:r>
        <w:rPr>
          <w:rFonts w:ascii="Verdana" w:eastAsia="Verdana" w:hAnsi="Verdana" w:cs="Verdana"/>
          <w:i/>
          <w:iCs/>
          <w:sz w:val="18"/>
          <w:szCs w:val="18"/>
          <w:lang w:val="en-US"/>
        </w:rPr>
        <w:t>organisation</w:t>
      </w:r>
      <w:proofErr w:type="spellEnd"/>
      <w:r>
        <w:rPr>
          <w:rFonts w:ascii="Verdana" w:eastAsia="Verdana" w:hAnsi="Verdana" w:cs="Verdana"/>
          <w:i/>
          <w:iCs/>
          <w:sz w:val="18"/>
          <w:szCs w:val="18"/>
          <w:lang w:val="en-US"/>
        </w:rPr>
        <w:t xml:space="preserve"> of traineeship; in this case they should indicate the number of students that they intend to send to the partner country. Total duration in months/days of the student/staff mobility periods or average duration can be indicated if relevant.]</w:t>
      </w:r>
    </w:p>
    <w:p w:rsidR="00994216" w:rsidRPr="00994216" w:rsidRDefault="00994216" w:rsidP="00994216">
      <w:pPr>
        <w:rPr>
          <w:rFonts w:ascii="Verdana" w:eastAsia="Verdana" w:hAnsi="Verdana" w:cs="Verdana"/>
          <w:b/>
          <w:iCs/>
          <w:sz w:val="18"/>
          <w:szCs w:val="18"/>
          <w:lang w:val="en-US"/>
        </w:rPr>
      </w:pPr>
      <w:r w:rsidRPr="00994216">
        <w:rPr>
          <w:rFonts w:ascii="Verdana" w:eastAsia="Verdana" w:hAnsi="Verdana" w:cs="Verdana"/>
          <w:b/>
          <w:iCs/>
          <w:sz w:val="18"/>
          <w:szCs w:val="18"/>
          <w:lang w:val="en-US"/>
        </w:rPr>
        <w:t>STAFF</w:t>
      </w:r>
    </w:p>
    <w:p w:rsidR="00994216" w:rsidRDefault="00994216" w:rsidP="00994216">
      <w:pPr>
        <w:keepNext/>
        <w:keepLines/>
        <w:tabs>
          <w:tab w:val="left" w:pos="426"/>
        </w:tabs>
        <w:spacing w:after="120"/>
        <w:rPr>
          <w:rFonts w:ascii="Verdana" w:hAnsi="Verdana"/>
          <w:i/>
          <w:color w:val="261BF9"/>
          <w:sz w:val="20"/>
          <w:lang w:val="en-GB"/>
        </w:rPr>
      </w:pPr>
      <w:proofErr w:type="gramStart"/>
      <w:r w:rsidRPr="00F630C4">
        <w:rPr>
          <w:rFonts w:ascii="Verdana" w:hAnsi="Verdana"/>
          <w:i/>
          <w:color w:val="261BF9"/>
          <w:sz w:val="20"/>
          <w:lang w:val="en-GB"/>
        </w:rPr>
        <w:t>example</w:t>
      </w:r>
      <w:proofErr w:type="gramEnd"/>
      <w:r w:rsidRPr="00F630C4">
        <w:rPr>
          <w:rFonts w:ascii="Verdana" w:hAnsi="Verdana"/>
          <w:i/>
          <w:color w:val="261BF9"/>
          <w:sz w:val="20"/>
          <w:lang w:val="en-GB"/>
        </w:rPr>
        <w:t xml:space="preserve"> of an agreed flow – clear when putting the data for your institution</w:t>
      </w:r>
    </w:p>
    <w:p w:rsidR="00994216" w:rsidRPr="0066783B" w:rsidRDefault="00994216" w:rsidP="00994216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color w:val="261BF9"/>
          <w:sz w:val="20"/>
          <w:szCs w:val="20"/>
          <w:lang w:val="en-GB"/>
        </w:rPr>
      </w:pPr>
      <w:r>
        <w:rPr>
          <w:rFonts w:ascii="Verdana" w:hAnsi="Verdana"/>
          <w:i/>
          <w:color w:val="261BF9"/>
          <w:sz w:val="20"/>
          <w:lang w:val="en-GB"/>
        </w:rPr>
        <w:t>5 days minimum, 60 days a maximum duration of staff exchange</w:t>
      </w:r>
    </w:p>
    <w:tbl>
      <w:tblPr>
        <w:tblW w:w="91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8"/>
        <w:gridCol w:w="992"/>
        <w:gridCol w:w="1700"/>
        <w:gridCol w:w="1843"/>
        <w:gridCol w:w="1842"/>
      </w:tblGrid>
      <w:tr w:rsidR="00994216" w:rsidRPr="00996E56" w:rsidTr="00050341">
        <w:trPr>
          <w:trHeight w:val="305"/>
        </w:trPr>
        <w:tc>
          <w:tcPr>
            <w:tcW w:w="138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Default="00994216" w:rsidP="0005034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FROM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n-US"/>
              </w:rPr>
              <w:t>7</w:t>
            </w:r>
          </w:p>
          <w:p w:rsidR="00994216" w:rsidRPr="0037352D" w:rsidRDefault="00994216" w:rsidP="00050341">
            <w:pPr>
              <w:jc w:val="center"/>
              <w:rPr>
                <w:lang w:val="en-GB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  <w:t>[Erasmus code or city of the sending institution]</w:t>
            </w:r>
          </w:p>
        </w:tc>
        <w:tc>
          <w:tcPr>
            <w:tcW w:w="1418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Default="00994216" w:rsidP="0005034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n-US"/>
              </w:rPr>
              <w:t>7</w:t>
            </w:r>
          </w:p>
          <w:p w:rsidR="00994216" w:rsidRPr="0037352D" w:rsidRDefault="00994216" w:rsidP="00050341">
            <w:pPr>
              <w:jc w:val="center"/>
              <w:rPr>
                <w:lang w:val="en-GB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  <w:t>[Erasmus code or city of the receiving institution]</w:t>
            </w:r>
          </w:p>
        </w:tc>
        <w:tc>
          <w:tcPr>
            <w:tcW w:w="99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Default="00994216" w:rsidP="00050341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t>Subject area code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br/>
              <w:t xml:space="preserve">* 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br/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  <w:t>[ISCED 2013]</w:t>
            </w:r>
          </w:p>
          <w:p w:rsidR="00994216" w:rsidRDefault="00994216" w:rsidP="00050341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Default="00994216" w:rsidP="00050341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t>Subject area name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br/>
              <w:t xml:space="preserve">* 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br/>
            </w:r>
          </w:p>
        </w:tc>
        <w:tc>
          <w:tcPr>
            <w:tcW w:w="368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7352D" w:rsidRDefault="00994216" w:rsidP="00050341">
            <w:pPr>
              <w:jc w:val="center"/>
              <w:rPr>
                <w:lang w:val="en-GB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Number of staff mobility periods</w:t>
            </w:r>
          </w:p>
        </w:tc>
      </w:tr>
      <w:tr w:rsidR="00994216" w:rsidTr="00050341">
        <w:trPr>
          <w:trHeight w:val="1488"/>
        </w:trPr>
        <w:tc>
          <w:tcPr>
            <w:tcW w:w="13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94216" w:rsidRPr="0037352D" w:rsidRDefault="00994216" w:rsidP="00050341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94216" w:rsidRPr="0037352D" w:rsidRDefault="00994216" w:rsidP="00050341">
            <w:pPr>
              <w:rPr>
                <w:lang w:val="en-GB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94216" w:rsidRPr="0037352D" w:rsidRDefault="00994216" w:rsidP="00050341">
            <w:pPr>
              <w:rPr>
                <w:lang w:val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94216" w:rsidRPr="0037352D" w:rsidRDefault="00994216" w:rsidP="00050341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7352D" w:rsidRDefault="00994216" w:rsidP="00050341">
            <w:pPr>
              <w:spacing w:after="120"/>
              <w:jc w:val="center"/>
              <w:rPr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>Staff Mobility for Teaching</w:t>
            </w: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br/>
            </w: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br/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en-US"/>
              </w:rPr>
              <w:t>[total number of days of the teaching periods or average duration*]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Default="00994216" w:rsidP="00050341">
            <w:pPr>
              <w:jc w:val="center"/>
            </w:pPr>
            <w:r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t>Staff Mobility for Training</w:t>
            </w:r>
            <w:r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br/>
              <w:t>*</w:t>
            </w:r>
            <w:r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br/>
            </w:r>
          </w:p>
        </w:tc>
      </w:tr>
      <w:tr w:rsidR="00994216" w:rsidTr="00050341">
        <w:trPr>
          <w:trHeight w:val="320"/>
        </w:trPr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494CDD" w:rsidRDefault="00994216" w:rsidP="00050341">
            <w:pPr>
              <w:rPr>
                <w:rFonts w:ascii="Verdana" w:hAnsi="Verdana"/>
                <w:color w:val="261BF9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City – partner country institution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FF1566" w:rsidRDefault="00994216" w:rsidP="00050341">
            <w:pPr>
              <w:rPr>
                <w:rFonts w:ascii="Verdana" w:hAnsi="Verdana"/>
                <w:sz w:val="20"/>
                <w:lang w:val="en-GB"/>
              </w:rPr>
            </w:pPr>
            <w:r w:rsidRPr="00FF1566">
              <w:rPr>
                <w:rFonts w:ascii="Verdana" w:hAnsi="Verdana"/>
                <w:sz w:val="20"/>
                <w:lang w:val="en-GB"/>
              </w:rPr>
              <w:t>HR ZAGREB 01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314</w:t>
            </w:r>
          </w:p>
        </w:tc>
        <w:tc>
          <w:tcPr>
            <w:tcW w:w="1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Economics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5 days (1 person x 5 days)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494CDD" w:rsidRDefault="00994216" w:rsidP="00050341">
            <w:pPr>
              <w:rPr>
                <w:rFonts w:ascii="Verdana" w:hAnsi="Verdana"/>
                <w:color w:val="261BF9"/>
                <w:sz w:val="20"/>
                <w:lang w:val="en-GB"/>
              </w:rPr>
            </w:pPr>
          </w:p>
        </w:tc>
      </w:tr>
      <w:tr w:rsidR="00994216" w:rsidTr="00050341">
        <w:trPr>
          <w:trHeight w:val="320"/>
        </w:trPr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FF1566" w:rsidRDefault="00994216" w:rsidP="00050341">
            <w:pPr>
              <w:rPr>
                <w:rFonts w:ascii="Verdana" w:hAnsi="Verdana"/>
                <w:sz w:val="20"/>
                <w:lang w:val="en-GB"/>
              </w:rPr>
            </w:pPr>
            <w:r w:rsidRPr="00FF1566">
              <w:rPr>
                <w:rFonts w:ascii="Verdana" w:hAnsi="Verdana"/>
                <w:sz w:val="20"/>
                <w:lang w:val="en-GB"/>
              </w:rPr>
              <w:t>HR ZAGREB 01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City – partner country institution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314</w:t>
            </w:r>
          </w:p>
        </w:tc>
        <w:tc>
          <w:tcPr>
            <w:tcW w:w="1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Economics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357BEB" w:rsidRDefault="00994216" w:rsidP="00050341">
            <w:pPr>
              <w:rPr>
                <w:rFonts w:ascii="Verdana" w:hAnsi="Verdana"/>
                <w:color w:val="FF0000"/>
                <w:sz w:val="20"/>
                <w:lang w:val="en-GB"/>
              </w:rPr>
            </w:pPr>
            <w:r w:rsidRPr="00357BEB">
              <w:rPr>
                <w:rFonts w:ascii="Verdana" w:hAnsi="Verdana"/>
                <w:color w:val="FF0000"/>
                <w:sz w:val="20"/>
                <w:lang w:val="en-GB"/>
              </w:rPr>
              <w:t>5 days (1 person x 5 days)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216" w:rsidRPr="00494CDD" w:rsidRDefault="00994216" w:rsidP="00050341">
            <w:pPr>
              <w:rPr>
                <w:rFonts w:ascii="Verdana" w:hAnsi="Verdana"/>
                <w:color w:val="261BF9"/>
                <w:sz w:val="20"/>
                <w:lang w:val="en-GB"/>
              </w:rPr>
            </w:pPr>
          </w:p>
        </w:tc>
      </w:tr>
    </w:tbl>
    <w:p w:rsidR="00994216" w:rsidRDefault="00994216" w:rsidP="00994216">
      <w:pPr>
        <w:rPr>
          <w:rFonts w:ascii="Verdana" w:eastAsia="Verdana" w:hAnsi="Verdana" w:cs="Verdana"/>
          <w:i/>
          <w:iCs/>
          <w:sz w:val="18"/>
          <w:szCs w:val="18"/>
          <w:lang w:val="en-US"/>
        </w:rPr>
      </w:pPr>
    </w:p>
    <w:p w:rsidR="006550C4" w:rsidRPr="00946ACA" w:rsidRDefault="006550C4" w:rsidP="006550C4">
      <w:pPr>
        <w:rPr>
          <w:b/>
        </w:rPr>
      </w:pPr>
      <w:r w:rsidRPr="00357BEB">
        <w:rPr>
          <w:b/>
          <w:color w:val="FF0000"/>
        </w:rPr>
        <w:t xml:space="preserve">Popis projekata / prikaz dosadašnje suradnje sastavnice s partnerskim sveučilištem (na engleskom jeziku): 1000 </w:t>
      </w:r>
      <w:r w:rsidR="0082446E">
        <w:rPr>
          <w:b/>
          <w:color w:val="FF0000"/>
        </w:rPr>
        <w:t xml:space="preserve">– 2000 </w:t>
      </w:r>
      <w:r w:rsidRPr="00357BEB">
        <w:rPr>
          <w:b/>
          <w:color w:val="FF0000"/>
        </w:rPr>
        <w:t>znakova</w:t>
      </w:r>
    </w:p>
    <w:p w:rsidR="006550C4" w:rsidRDefault="006550C4" w:rsidP="006550C4"/>
    <w:p w:rsidR="006550C4" w:rsidRDefault="006550C4" w:rsidP="006550C4"/>
    <w:p w:rsidR="006550C4" w:rsidRDefault="006550C4" w:rsidP="006550C4"/>
    <w:p w:rsidR="006550C4" w:rsidRPr="00946ACA" w:rsidRDefault="006550C4" w:rsidP="006550C4"/>
    <w:p w:rsidR="006550C4" w:rsidRPr="00946ACA" w:rsidRDefault="006550C4" w:rsidP="006550C4">
      <w:pPr>
        <w:rPr>
          <w:b/>
        </w:rPr>
      </w:pPr>
      <w:r w:rsidRPr="00357BEB">
        <w:rPr>
          <w:b/>
          <w:color w:val="FF0000"/>
        </w:rPr>
        <w:t xml:space="preserve">Opisati važnost planirane suradnje za međunarodnu suradnju vašeg fakulteta / akademije te partnerskog sveučilišta te objašnjenje za odabir </w:t>
      </w:r>
      <w:r w:rsidR="0082446E">
        <w:rPr>
          <w:b/>
          <w:color w:val="FF0000"/>
        </w:rPr>
        <w:t>tipa mobilnosti: studentska mobilnost, mobilnost osoblja (obrazložiti zašto studentska mobilnost, tj. za osoblje: podučavanje / stručno osposobljavanje) (na engleskom</w:t>
      </w:r>
      <w:r w:rsidRPr="00357BEB">
        <w:rPr>
          <w:b/>
          <w:color w:val="FF0000"/>
        </w:rPr>
        <w:t xml:space="preserve"> jeziku): </w:t>
      </w:r>
      <w:r w:rsidR="0082446E" w:rsidRPr="00357BEB">
        <w:rPr>
          <w:b/>
          <w:color w:val="FF0000"/>
        </w:rPr>
        <w:t xml:space="preserve">1000 </w:t>
      </w:r>
      <w:r w:rsidR="0082446E">
        <w:rPr>
          <w:b/>
          <w:color w:val="FF0000"/>
        </w:rPr>
        <w:t xml:space="preserve">– 2000 </w:t>
      </w:r>
      <w:r w:rsidR="0082446E" w:rsidRPr="00357BEB">
        <w:rPr>
          <w:b/>
          <w:color w:val="FF0000"/>
        </w:rPr>
        <w:t>znakova</w:t>
      </w:r>
    </w:p>
    <w:p w:rsidR="00946ACA" w:rsidRDefault="00946ACA" w:rsidP="00946ACA"/>
    <w:sectPr w:rsidR="0094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5F" w:rsidRDefault="002D735F" w:rsidP="00994216">
      <w:pPr>
        <w:spacing w:after="0" w:line="240" w:lineRule="auto"/>
      </w:pPr>
      <w:r>
        <w:separator/>
      </w:r>
    </w:p>
  </w:endnote>
  <w:endnote w:type="continuationSeparator" w:id="0">
    <w:p w:rsidR="002D735F" w:rsidRDefault="002D735F" w:rsidP="0099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5F" w:rsidRDefault="002D735F" w:rsidP="00994216">
      <w:pPr>
        <w:spacing w:after="0" w:line="240" w:lineRule="auto"/>
      </w:pPr>
      <w:r>
        <w:separator/>
      </w:r>
    </w:p>
  </w:footnote>
  <w:footnote w:type="continuationSeparator" w:id="0">
    <w:p w:rsidR="002D735F" w:rsidRDefault="002D735F" w:rsidP="00994216">
      <w:pPr>
        <w:spacing w:after="0" w:line="240" w:lineRule="auto"/>
      </w:pPr>
      <w:r>
        <w:continuationSeparator/>
      </w:r>
    </w:p>
  </w:footnote>
  <w:footnote w:id="1">
    <w:p w:rsidR="00994216" w:rsidRPr="0037352D" w:rsidRDefault="00994216" w:rsidP="00994216">
      <w:pPr>
        <w:pStyle w:val="FootnoteText"/>
        <w:spacing w:after="0"/>
        <w:ind w:left="227" w:hanging="227"/>
        <w:rPr>
          <w:lang w:val="en-GB"/>
        </w:rPr>
      </w:pP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/>
      </w:r>
      <w:r>
        <w:rPr>
          <w:lang w:val="en-US"/>
        </w:rPr>
        <w:t xml:space="preserve"> </w:t>
      </w:r>
      <w:r>
        <w:rPr>
          <w:rFonts w:ascii="Verdana" w:eastAsia="Verdana" w:hAnsi="Verdana" w:cs="Verdana"/>
          <w:sz w:val="16"/>
          <w:szCs w:val="16"/>
          <w:lang w:val="en-US"/>
        </w:rPr>
        <w:t xml:space="preserve">Mobility numbers can be given per sending/receiving institutions </w:t>
      </w:r>
      <w:r>
        <w:rPr>
          <w:rFonts w:ascii="Verdana" w:eastAsia="Verdana" w:hAnsi="Verdana" w:cs="Verdana"/>
          <w:i/>
          <w:iCs/>
          <w:sz w:val="16"/>
          <w:szCs w:val="16"/>
          <w:lang w:val="en-US"/>
        </w:rPr>
        <w:t xml:space="preserve">and per education field (optional*: </w:t>
      </w:r>
      <w:hyperlink r:id="rId1" w:history="1">
        <w:r>
          <w:rPr>
            <w:rStyle w:val="Hyperlink0"/>
          </w:rPr>
          <w:t>http://www.uis.unesco.org/Education/Pages/international-standard-classification-of-education.aspx</w:t>
        </w:r>
      </w:hyperlink>
      <w:r>
        <w:rPr>
          <w:rFonts w:ascii="Verdana" w:eastAsia="Verdana" w:hAnsi="Verdana" w:cs="Verdana"/>
          <w:i/>
          <w:iCs/>
          <w:sz w:val="16"/>
          <w:szCs w:val="16"/>
          <w:lang w:val="en-US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D3"/>
    <w:rsid w:val="00015DE4"/>
    <w:rsid w:val="000812BF"/>
    <w:rsid w:val="00162C5B"/>
    <w:rsid w:val="002855EF"/>
    <w:rsid w:val="002D735F"/>
    <w:rsid w:val="00357BEB"/>
    <w:rsid w:val="00390A24"/>
    <w:rsid w:val="005523B7"/>
    <w:rsid w:val="0057518A"/>
    <w:rsid w:val="006550C4"/>
    <w:rsid w:val="00733298"/>
    <w:rsid w:val="00815D55"/>
    <w:rsid w:val="0082446E"/>
    <w:rsid w:val="008B4E35"/>
    <w:rsid w:val="0091530D"/>
    <w:rsid w:val="00946ACA"/>
    <w:rsid w:val="00994216"/>
    <w:rsid w:val="00A403D3"/>
    <w:rsid w:val="00B67C3F"/>
    <w:rsid w:val="00CE5355"/>
    <w:rsid w:val="00E409EA"/>
    <w:rsid w:val="00F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2CF8C-D787-4463-9656-B669D515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rsid w:val="00994216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fr-FR" w:eastAsia="en-GB"/>
    </w:rPr>
  </w:style>
  <w:style w:type="character" w:customStyle="1" w:styleId="FootnoteTextChar">
    <w:name w:val="Footnote Text Char"/>
    <w:basedOn w:val="DefaultParagraphFont"/>
    <w:link w:val="FootnoteText"/>
    <w:rsid w:val="00994216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fr-FR" w:eastAsia="en-GB"/>
    </w:rPr>
  </w:style>
  <w:style w:type="character" w:customStyle="1" w:styleId="Hyperlink0">
    <w:name w:val="Hyperlink.0"/>
    <w:rsid w:val="00994216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5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Pitner</dc:creator>
  <cp:keywords/>
  <dc:description/>
  <cp:lastModifiedBy>Željka Pitner</cp:lastModifiedBy>
  <cp:revision>4</cp:revision>
  <dcterms:created xsi:type="dcterms:W3CDTF">2017-11-08T11:28:00Z</dcterms:created>
  <dcterms:modified xsi:type="dcterms:W3CDTF">2018-10-29T15:01:00Z</dcterms:modified>
</cp:coreProperties>
</file>